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F85D3D" w14:textId="7487A0E7" w:rsidR="00D55D75" w:rsidRPr="00D55D75" w:rsidRDefault="00D55D75" w:rsidP="00D55D75">
      <w:pPr>
        <w:jc w:val="center"/>
        <w:rPr>
          <w:rFonts w:ascii="Arial" w:eastAsia="Arial" w:hAnsi="Arial" w:cs="Arial"/>
          <w:b/>
          <w:sz w:val="56"/>
          <w:szCs w:val="56"/>
        </w:rPr>
      </w:pPr>
      <w:r w:rsidRPr="00D55D75">
        <w:rPr>
          <w:rFonts w:ascii="Arial" w:eastAsia="Arial" w:hAnsi="Arial" w:cs="Arial"/>
          <w:b/>
          <w:sz w:val="56"/>
          <w:szCs w:val="56"/>
        </w:rPr>
        <w:t>Allowed Activities</w:t>
      </w:r>
    </w:p>
    <w:p w14:paraId="36CFBCB3" w14:textId="56643645" w:rsidR="00D55D75" w:rsidRPr="00D55D75" w:rsidRDefault="00D55D75" w:rsidP="00D55D75">
      <w:pPr>
        <w:rPr>
          <w:rFonts w:ascii="Arial" w:eastAsia="Arial" w:hAnsi="Arial" w:cs="Arial"/>
          <w:b/>
          <w:sz w:val="24"/>
          <w:szCs w:val="24"/>
          <w:u w:val="single"/>
        </w:rPr>
      </w:pPr>
      <w:r w:rsidRPr="00D55D75">
        <w:rPr>
          <w:rFonts w:ascii="Arial" w:eastAsia="Arial" w:hAnsi="Arial" w:cs="Arial"/>
          <w:b/>
          <w:sz w:val="24"/>
          <w:szCs w:val="24"/>
          <w:u w:val="single"/>
        </w:rPr>
        <w:t>Habilitation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0"/>
        <w:gridCol w:w="2990"/>
        <w:gridCol w:w="750"/>
        <w:gridCol w:w="1870"/>
        <w:gridCol w:w="1870"/>
      </w:tblGrid>
      <w:tr w:rsidR="00D55D75" w:rsidRPr="00D55D75" w14:paraId="3AEC302B" w14:textId="77777777" w:rsidTr="00124E33">
        <w:tc>
          <w:tcPr>
            <w:tcW w:w="1870" w:type="dxa"/>
          </w:tcPr>
          <w:p w14:paraId="58D8884F" w14:textId="37CEA7D3" w:rsidR="00D55D75" w:rsidRPr="00D55D75" w:rsidRDefault="00D55D75" w:rsidP="00D55D75">
            <w:pPr>
              <w:autoSpaceDE w:val="0"/>
              <w:autoSpaceDN w:val="0"/>
              <w:adjustRightInd w:val="0"/>
              <w:rPr>
                <w:rFonts w:ascii="Times-Roman" w:hAnsi="Times-Roman" w:cs="Times-Roman"/>
                <w:sz w:val="20"/>
                <w:szCs w:val="20"/>
              </w:rPr>
            </w:pPr>
            <w:r w:rsidRPr="00D55D75">
              <w:rPr>
                <w:rFonts w:ascii="Times-Roman" w:hAnsi="Times-Roman" w:cs="Times-Roman"/>
                <w:sz w:val="20"/>
                <w:szCs w:val="20"/>
              </w:rPr>
              <w:t>Coaching</w:t>
            </w:r>
          </w:p>
          <w:p w14:paraId="2000A47B" w14:textId="77777777" w:rsidR="00D55D75" w:rsidRPr="00D55D75" w:rsidRDefault="00D55D75" w:rsidP="00D55D75">
            <w:pPr>
              <w:rPr>
                <w:rFonts w:ascii="Times-Roman" w:hAnsi="Times-Roman" w:cs="Times-Roman"/>
                <w:sz w:val="20"/>
                <w:szCs w:val="20"/>
              </w:rPr>
            </w:pPr>
          </w:p>
        </w:tc>
        <w:tc>
          <w:tcPr>
            <w:tcW w:w="2990" w:type="dxa"/>
          </w:tcPr>
          <w:p w14:paraId="53B2BC74" w14:textId="0D7E6481" w:rsidR="00D55D75" w:rsidRPr="00D55D75" w:rsidRDefault="00D55D75" w:rsidP="00D55D75">
            <w:pPr>
              <w:rPr>
                <w:rFonts w:ascii="Times-Roman" w:hAnsi="Times-Roman" w:cs="Times-Roman"/>
                <w:sz w:val="20"/>
                <w:szCs w:val="20"/>
              </w:rPr>
            </w:pPr>
            <w:r w:rsidRPr="00D55D75">
              <w:rPr>
                <w:rFonts w:ascii="Times-Roman" w:hAnsi="Times-Roman" w:cs="Times-Roman"/>
                <w:sz w:val="20"/>
                <w:szCs w:val="20"/>
              </w:rPr>
              <w:t>Instructing</w:t>
            </w:r>
            <w:r w:rsidR="00124E33">
              <w:rPr>
                <w:rFonts w:ascii="Times-Roman" w:hAnsi="Times-Roman" w:cs="Times-Roman"/>
                <w:sz w:val="20"/>
                <w:szCs w:val="20"/>
              </w:rPr>
              <w:t xml:space="preserve">                   </w:t>
            </w:r>
            <w:r w:rsidR="00124E33" w:rsidRPr="00D55D75">
              <w:rPr>
                <w:rFonts w:ascii="Times-Roman" w:hAnsi="Times-Roman" w:cs="Times-Roman"/>
                <w:sz w:val="20"/>
                <w:szCs w:val="20"/>
              </w:rPr>
              <w:t>Role play</w:t>
            </w:r>
          </w:p>
        </w:tc>
        <w:tc>
          <w:tcPr>
            <w:tcW w:w="750" w:type="dxa"/>
          </w:tcPr>
          <w:p w14:paraId="0AF489B5" w14:textId="459E9AD6" w:rsidR="00D55D75" w:rsidRPr="00D55D75" w:rsidRDefault="00D55D75" w:rsidP="00D55D75">
            <w:pPr>
              <w:rPr>
                <w:rFonts w:ascii="Times-Roman" w:hAnsi="Times-Roman" w:cs="Times-Roman"/>
                <w:sz w:val="20"/>
                <w:szCs w:val="20"/>
              </w:rPr>
            </w:pPr>
          </w:p>
        </w:tc>
        <w:tc>
          <w:tcPr>
            <w:tcW w:w="1870" w:type="dxa"/>
          </w:tcPr>
          <w:p w14:paraId="625396E1" w14:textId="7ADD946F" w:rsidR="00D55D75" w:rsidRPr="00D55D75" w:rsidRDefault="00D55D75" w:rsidP="00D55D75">
            <w:pPr>
              <w:rPr>
                <w:rFonts w:ascii="Times-Roman" w:hAnsi="Times-Roman" w:cs="Times-Roman"/>
                <w:sz w:val="20"/>
                <w:szCs w:val="20"/>
              </w:rPr>
            </w:pPr>
            <w:r w:rsidRPr="00D55D75">
              <w:rPr>
                <w:rFonts w:ascii="Times-Roman" w:hAnsi="Times-Roman" w:cs="Times-Roman"/>
                <w:sz w:val="20"/>
                <w:szCs w:val="20"/>
              </w:rPr>
              <w:t>Teaching</w:t>
            </w:r>
          </w:p>
        </w:tc>
        <w:tc>
          <w:tcPr>
            <w:tcW w:w="1870" w:type="dxa"/>
          </w:tcPr>
          <w:p w14:paraId="3BD0236F" w14:textId="30A7DDC0" w:rsidR="00D55D75" w:rsidRPr="00D55D75" w:rsidRDefault="00D55D75" w:rsidP="00D55D75">
            <w:pPr>
              <w:rPr>
                <w:rFonts w:ascii="Times-Roman" w:hAnsi="Times-Roman" w:cs="Times-Roman"/>
                <w:sz w:val="20"/>
                <w:szCs w:val="20"/>
              </w:rPr>
            </w:pPr>
            <w:r w:rsidRPr="00D55D75">
              <w:rPr>
                <w:rFonts w:ascii="Times-Roman" w:hAnsi="Times-Roman" w:cs="Times-Roman"/>
                <w:sz w:val="20"/>
                <w:szCs w:val="20"/>
              </w:rPr>
              <w:t>Assisting</w:t>
            </w:r>
            <w:r w:rsidR="00124E33">
              <w:rPr>
                <w:rFonts w:ascii="Times-Roman" w:hAnsi="Times-Roman" w:cs="Times-Roman"/>
                <w:sz w:val="20"/>
                <w:szCs w:val="20"/>
              </w:rPr>
              <w:t xml:space="preserve"> </w:t>
            </w:r>
          </w:p>
        </w:tc>
      </w:tr>
      <w:tr w:rsidR="00D55D75" w:rsidRPr="00D55D75" w14:paraId="280A212C" w14:textId="77777777" w:rsidTr="00124E33">
        <w:trPr>
          <w:trHeight w:val="486"/>
        </w:trPr>
        <w:tc>
          <w:tcPr>
            <w:tcW w:w="1870" w:type="dxa"/>
          </w:tcPr>
          <w:p w14:paraId="1200A91B" w14:textId="088CD8F3" w:rsidR="00D55D75" w:rsidRPr="00D55D75" w:rsidRDefault="00D55D75" w:rsidP="00D55D75">
            <w:pPr>
              <w:rPr>
                <w:rFonts w:ascii="Times-Roman" w:hAnsi="Times-Roman" w:cs="Times-Roman"/>
                <w:sz w:val="20"/>
                <w:szCs w:val="20"/>
              </w:rPr>
            </w:pPr>
            <w:r w:rsidRPr="00D55D75">
              <w:rPr>
                <w:rFonts w:ascii="Times-Roman" w:hAnsi="Times-Roman" w:cs="Times-Roman"/>
                <w:sz w:val="20"/>
                <w:szCs w:val="20"/>
              </w:rPr>
              <w:t>Directing</w:t>
            </w:r>
          </w:p>
        </w:tc>
        <w:tc>
          <w:tcPr>
            <w:tcW w:w="2990" w:type="dxa"/>
          </w:tcPr>
          <w:p w14:paraId="3E642F39" w14:textId="31417E51" w:rsidR="00D55D75" w:rsidRPr="00D55D75" w:rsidRDefault="00D55D75" w:rsidP="00D55D75">
            <w:pPr>
              <w:rPr>
                <w:rFonts w:ascii="Times-Roman" w:hAnsi="Times-Roman" w:cs="Times-Roman"/>
                <w:sz w:val="20"/>
                <w:szCs w:val="20"/>
              </w:rPr>
            </w:pPr>
            <w:r w:rsidRPr="00D55D75">
              <w:rPr>
                <w:rFonts w:ascii="Times-Roman" w:hAnsi="Times-Roman" w:cs="Times-Roman"/>
                <w:sz w:val="20"/>
                <w:szCs w:val="20"/>
              </w:rPr>
              <w:t>Redirecting</w:t>
            </w:r>
            <w:r w:rsidR="00124E33">
              <w:rPr>
                <w:rFonts w:ascii="Times-Roman" w:hAnsi="Times-Roman" w:cs="Times-Roman"/>
                <w:sz w:val="20"/>
                <w:szCs w:val="20"/>
              </w:rPr>
              <w:t xml:space="preserve">               </w:t>
            </w:r>
            <w:r w:rsidR="00124E33" w:rsidRPr="00D55D75">
              <w:rPr>
                <w:rFonts w:ascii="Times-Roman" w:hAnsi="Times-Roman" w:cs="Times-Roman"/>
                <w:sz w:val="20"/>
                <w:szCs w:val="20"/>
              </w:rPr>
              <w:t>Modeling</w:t>
            </w:r>
          </w:p>
        </w:tc>
        <w:tc>
          <w:tcPr>
            <w:tcW w:w="750" w:type="dxa"/>
          </w:tcPr>
          <w:p w14:paraId="24748350" w14:textId="3CAFC754" w:rsidR="00D55D75" w:rsidRPr="00D55D75" w:rsidRDefault="00D55D75" w:rsidP="00D55D75">
            <w:pPr>
              <w:rPr>
                <w:rFonts w:ascii="Times-Roman" w:hAnsi="Times-Roman" w:cs="Times-Roman"/>
                <w:sz w:val="20"/>
                <w:szCs w:val="20"/>
              </w:rPr>
            </w:pPr>
          </w:p>
        </w:tc>
        <w:tc>
          <w:tcPr>
            <w:tcW w:w="1870" w:type="dxa"/>
          </w:tcPr>
          <w:p w14:paraId="24DE533B" w14:textId="03E2547D" w:rsidR="00D55D75" w:rsidRPr="00D55D75" w:rsidRDefault="00D55D75" w:rsidP="00D55D75">
            <w:pPr>
              <w:rPr>
                <w:rFonts w:ascii="Times-Roman" w:hAnsi="Times-Roman" w:cs="Times-Roman"/>
                <w:sz w:val="20"/>
                <w:szCs w:val="20"/>
              </w:rPr>
            </w:pPr>
            <w:r w:rsidRPr="00D55D75">
              <w:rPr>
                <w:rFonts w:ascii="Times-Roman" w:hAnsi="Times-Roman" w:cs="Times-Roman"/>
                <w:sz w:val="20"/>
                <w:szCs w:val="20"/>
              </w:rPr>
              <w:t>Encouraging</w:t>
            </w:r>
          </w:p>
        </w:tc>
        <w:tc>
          <w:tcPr>
            <w:tcW w:w="1870" w:type="dxa"/>
          </w:tcPr>
          <w:p w14:paraId="002BB6A2" w14:textId="4B89896F" w:rsidR="00D55D75" w:rsidRPr="00D55D75" w:rsidRDefault="00D55D75" w:rsidP="00D55D75">
            <w:pPr>
              <w:rPr>
                <w:rFonts w:ascii="Times-Roman" w:hAnsi="Times-Roman" w:cs="Times-Roman"/>
                <w:sz w:val="20"/>
                <w:szCs w:val="20"/>
              </w:rPr>
            </w:pPr>
            <w:r w:rsidRPr="00D55D75">
              <w:rPr>
                <w:rFonts w:ascii="Times-Roman" w:hAnsi="Times-Roman" w:cs="Times-Roman"/>
                <w:sz w:val="20"/>
                <w:szCs w:val="20"/>
              </w:rPr>
              <w:t>Praising</w:t>
            </w:r>
          </w:p>
        </w:tc>
      </w:tr>
      <w:tr w:rsidR="00124E33" w:rsidRPr="00D55D75" w14:paraId="43BAAB0C" w14:textId="77777777" w:rsidTr="00124E33">
        <w:tc>
          <w:tcPr>
            <w:tcW w:w="1870" w:type="dxa"/>
          </w:tcPr>
          <w:p w14:paraId="12A7EF97" w14:textId="4529B195" w:rsidR="00124E33" w:rsidRPr="00D55D75" w:rsidRDefault="00124E33" w:rsidP="00D55D75">
            <w:pPr>
              <w:rPr>
                <w:rFonts w:ascii="Times-Roman" w:hAnsi="Times-Roman" w:cs="Times-Roman"/>
                <w:sz w:val="20"/>
                <w:szCs w:val="20"/>
              </w:rPr>
            </w:pPr>
            <w:r>
              <w:rPr>
                <w:rFonts w:ascii="Times-Roman" w:hAnsi="Times-Roman" w:cs="Times-Roman"/>
                <w:sz w:val="20"/>
                <w:szCs w:val="20"/>
              </w:rPr>
              <w:t>Observed</w:t>
            </w:r>
          </w:p>
        </w:tc>
        <w:tc>
          <w:tcPr>
            <w:tcW w:w="2990" w:type="dxa"/>
          </w:tcPr>
          <w:p w14:paraId="4F9F35F1" w14:textId="3B4ABEB2" w:rsidR="00124E33" w:rsidRPr="00D55D75" w:rsidRDefault="00124E33" w:rsidP="00D55D75">
            <w:pPr>
              <w:rPr>
                <w:rFonts w:ascii="Times-Roman" w:hAnsi="Times-Roman" w:cs="Times-Roman"/>
                <w:sz w:val="20"/>
                <w:szCs w:val="20"/>
              </w:rPr>
            </w:pPr>
            <w:r>
              <w:rPr>
                <w:rFonts w:ascii="Times-Roman" w:hAnsi="Times-Roman" w:cs="Times-Roman"/>
                <w:sz w:val="20"/>
                <w:szCs w:val="20"/>
              </w:rPr>
              <w:t>Give opportunity to practice</w:t>
            </w:r>
          </w:p>
        </w:tc>
        <w:tc>
          <w:tcPr>
            <w:tcW w:w="750" w:type="dxa"/>
          </w:tcPr>
          <w:p w14:paraId="29E54055" w14:textId="0302E677" w:rsidR="00124E33" w:rsidRPr="00D55D75" w:rsidRDefault="00124E33" w:rsidP="00D55D75">
            <w:pPr>
              <w:rPr>
                <w:rFonts w:ascii="Times-Roman" w:hAnsi="Times-Roman" w:cs="Times-Roman"/>
                <w:sz w:val="20"/>
                <w:szCs w:val="20"/>
              </w:rPr>
            </w:pPr>
          </w:p>
        </w:tc>
        <w:tc>
          <w:tcPr>
            <w:tcW w:w="1870" w:type="dxa"/>
          </w:tcPr>
          <w:p w14:paraId="5AE1D84A" w14:textId="77777777" w:rsidR="00124E33" w:rsidRPr="00D55D75" w:rsidRDefault="00124E33" w:rsidP="00D55D75">
            <w:pPr>
              <w:rPr>
                <w:rFonts w:ascii="Times-Roman" w:hAnsi="Times-Roman" w:cs="Times-Roman"/>
                <w:sz w:val="20"/>
                <w:szCs w:val="20"/>
              </w:rPr>
            </w:pPr>
          </w:p>
        </w:tc>
        <w:tc>
          <w:tcPr>
            <w:tcW w:w="1870" w:type="dxa"/>
          </w:tcPr>
          <w:p w14:paraId="25337FCD" w14:textId="77777777" w:rsidR="00124E33" w:rsidRPr="00D55D75" w:rsidRDefault="00124E33" w:rsidP="00D55D75">
            <w:pPr>
              <w:rPr>
                <w:rFonts w:ascii="Times-Roman" w:hAnsi="Times-Roman" w:cs="Times-Roman"/>
                <w:sz w:val="20"/>
                <w:szCs w:val="20"/>
              </w:rPr>
            </w:pPr>
          </w:p>
        </w:tc>
      </w:tr>
    </w:tbl>
    <w:p w14:paraId="16C444DE" w14:textId="630E140D" w:rsidR="00D55D75" w:rsidRPr="00D55D75" w:rsidRDefault="00D55D75" w:rsidP="00D55D75">
      <w:pPr>
        <w:rPr>
          <w:rFonts w:ascii="Times-Roman" w:hAnsi="Times-Roman" w:cs="Times-Roman"/>
          <w:sz w:val="20"/>
          <w:szCs w:val="20"/>
        </w:rPr>
      </w:pPr>
    </w:p>
    <w:p w14:paraId="4E284F7E" w14:textId="77777777" w:rsidR="002E54E0" w:rsidRDefault="008D6A1F" w:rsidP="00D55D75">
      <w:pPr>
        <w:autoSpaceDE w:val="0"/>
        <w:autoSpaceDN w:val="0"/>
        <w:adjustRightInd w:val="0"/>
      </w:pPr>
      <w:r>
        <w:t xml:space="preserve">The goal of Habilitation services is to enhance the participant’s level of functioning, quality of life, and use of social skills, as well as build the participant’s and family’s strengths, resilience, and positive outcomes. The Habilitation service provider helps the participant accomplish these goals through development of the following skills: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1"/>
        <w:gridCol w:w="4289"/>
      </w:tblGrid>
      <w:tr w:rsidR="002E54E0" w:rsidRPr="002E54E0" w14:paraId="12F3D154" w14:textId="318E830F" w:rsidTr="002E54E0">
        <w:tc>
          <w:tcPr>
            <w:tcW w:w="5061" w:type="dxa"/>
          </w:tcPr>
          <w:p w14:paraId="1DA9B790" w14:textId="77777777" w:rsidR="002E54E0" w:rsidRPr="002E54E0" w:rsidRDefault="002E54E0" w:rsidP="009810E4">
            <w:pPr>
              <w:autoSpaceDE w:val="0"/>
              <w:autoSpaceDN w:val="0"/>
              <w:adjustRightInd w:val="0"/>
            </w:pPr>
            <w:r w:rsidRPr="002E54E0">
              <w:sym w:font="Symbol" w:char="F0B7"/>
            </w:r>
            <w:r w:rsidRPr="002E54E0">
              <w:t xml:space="preserve"> Identification of feelings </w:t>
            </w:r>
          </w:p>
        </w:tc>
        <w:tc>
          <w:tcPr>
            <w:tcW w:w="4289" w:type="dxa"/>
          </w:tcPr>
          <w:p w14:paraId="43469550" w14:textId="0BF9A6C5" w:rsidR="002E54E0" w:rsidRPr="002E54E0" w:rsidRDefault="002E54E0" w:rsidP="009810E4">
            <w:pPr>
              <w:autoSpaceDE w:val="0"/>
              <w:autoSpaceDN w:val="0"/>
              <w:adjustRightInd w:val="0"/>
            </w:pPr>
            <w:r w:rsidRPr="002E54E0">
              <w:sym w:font="Symbol" w:char="F0B7"/>
            </w:r>
            <w:r w:rsidRPr="002E54E0">
              <w:t xml:space="preserve"> Learning how to have positive interactions with peers and adults</w:t>
            </w:r>
          </w:p>
        </w:tc>
      </w:tr>
      <w:tr w:rsidR="002E54E0" w:rsidRPr="002E54E0" w14:paraId="0619DE45" w14:textId="05DB071E" w:rsidTr="002E54E0">
        <w:tc>
          <w:tcPr>
            <w:tcW w:w="5061" w:type="dxa"/>
          </w:tcPr>
          <w:p w14:paraId="2EB237F8" w14:textId="77777777" w:rsidR="002E54E0" w:rsidRPr="002E54E0" w:rsidRDefault="002E54E0" w:rsidP="002E54E0">
            <w:pPr>
              <w:autoSpaceDE w:val="0"/>
              <w:autoSpaceDN w:val="0"/>
              <w:adjustRightInd w:val="0"/>
            </w:pPr>
            <w:r w:rsidRPr="002E54E0">
              <w:sym w:font="Symbol" w:char="F0B7"/>
            </w:r>
            <w:r w:rsidRPr="002E54E0">
              <w:t xml:space="preserve"> Managing anger and emotions </w:t>
            </w:r>
          </w:p>
        </w:tc>
        <w:tc>
          <w:tcPr>
            <w:tcW w:w="4289" w:type="dxa"/>
          </w:tcPr>
          <w:p w14:paraId="3EACB056" w14:textId="1792FA09" w:rsidR="002E54E0" w:rsidRPr="002E54E0" w:rsidRDefault="002E54E0" w:rsidP="002E54E0">
            <w:pPr>
              <w:autoSpaceDE w:val="0"/>
              <w:autoSpaceDN w:val="0"/>
              <w:adjustRightInd w:val="0"/>
            </w:pPr>
            <w:r w:rsidRPr="002E54E0">
              <w:sym w:font="Symbol" w:char="F0B7"/>
            </w:r>
            <w:r w:rsidRPr="002E54E0">
              <w:t xml:space="preserve"> Building and promoting positive coping skills </w:t>
            </w:r>
          </w:p>
        </w:tc>
      </w:tr>
      <w:tr w:rsidR="002E54E0" w:rsidRPr="002E54E0" w14:paraId="60D8D132" w14:textId="01F5B40E" w:rsidTr="002E54E0">
        <w:tc>
          <w:tcPr>
            <w:tcW w:w="5061" w:type="dxa"/>
          </w:tcPr>
          <w:p w14:paraId="2970A0E2" w14:textId="77777777" w:rsidR="002E54E0" w:rsidRPr="002E54E0" w:rsidRDefault="002E54E0" w:rsidP="002E54E0">
            <w:pPr>
              <w:autoSpaceDE w:val="0"/>
              <w:autoSpaceDN w:val="0"/>
              <w:adjustRightInd w:val="0"/>
            </w:pPr>
            <w:r w:rsidRPr="002E54E0">
              <w:sym w:font="Symbol" w:char="F0B7"/>
            </w:r>
            <w:r w:rsidRPr="002E54E0">
              <w:t xml:space="preserve"> Giving and receiving feedback, criticism, or praise </w:t>
            </w:r>
          </w:p>
        </w:tc>
        <w:tc>
          <w:tcPr>
            <w:tcW w:w="4289" w:type="dxa"/>
          </w:tcPr>
          <w:p w14:paraId="4A092446" w14:textId="5A718D87" w:rsidR="002E54E0" w:rsidRPr="002E54E0" w:rsidRDefault="002E54E0" w:rsidP="002E54E0">
            <w:pPr>
              <w:autoSpaceDE w:val="0"/>
              <w:autoSpaceDN w:val="0"/>
              <w:adjustRightInd w:val="0"/>
            </w:pPr>
            <w:r w:rsidRPr="002E54E0">
              <w:sym w:font="Symbol" w:char="F0B7"/>
            </w:r>
            <w:r w:rsidRPr="002E54E0">
              <w:t xml:space="preserve"> Improving communication skills </w:t>
            </w:r>
          </w:p>
        </w:tc>
      </w:tr>
      <w:tr w:rsidR="002E54E0" w:rsidRPr="002E54E0" w14:paraId="0490CBF1" w14:textId="5BC16B32" w:rsidTr="002E54E0">
        <w:tc>
          <w:tcPr>
            <w:tcW w:w="5061" w:type="dxa"/>
          </w:tcPr>
          <w:p w14:paraId="78DE55DC" w14:textId="77777777" w:rsidR="002E54E0" w:rsidRPr="002E54E0" w:rsidRDefault="002E54E0" w:rsidP="002E54E0">
            <w:pPr>
              <w:autoSpaceDE w:val="0"/>
              <w:autoSpaceDN w:val="0"/>
              <w:adjustRightInd w:val="0"/>
            </w:pPr>
            <w:r w:rsidRPr="002E54E0">
              <w:sym w:font="Symbol" w:char="F0B7"/>
            </w:r>
            <w:r w:rsidRPr="002E54E0">
              <w:t xml:space="preserve"> Problem-solving and decision making </w:t>
            </w:r>
          </w:p>
        </w:tc>
        <w:tc>
          <w:tcPr>
            <w:tcW w:w="4289" w:type="dxa"/>
          </w:tcPr>
          <w:p w14:paraId="263A3EDF" w14:textId="4C8C2DA2" w:rsidR="002E54E0" w:rsidRPr="002E54E0" w:rsidRDefault="002E54E0" w:rsidP="002E54E0">
            <w:pPr>
              <w:autoSpaceDE w:val="0"/>
              <w:autoSpaceDN w:val="0"/>
              <w:adjustRightInd w:val="0"/>
            </w:pPr>
            <w:r w:rsidRPr="002E54E0">
              <w:sym w:font="Symbol" w:char="F0B7"/>
            </w:r>
            <w:r w:rsidRPr="002E54E0">
              <w:t xml:space="preserve"> Learning to resist negative peer pressure and develop pro-social peer interactions </w:t>
            </w:r>
          </w:p>
        </w:tc>
      </w:tr>
    </w:tbl>
    <w:p w14:paraId="4940D21C" w14:textId="77777777" w:rsidR="002E54E0" w:rsidRDefault="002E54E0" w:rsidP="00D55D75">
      <w:pPr>
        <w:autoSpaceDE w:val="0"/>
        <w:autoSpaceDN w:val="0"/>
        <w:adjustRightInd w:val="0"/>
        <w:rPr>
          <w:rFonts w:ascii="Times-Bold" w:hAnsi="Times-Bold" w:cs="Times-Bold"/>
          <w:b/>
          <w:bCs/>
          <w:sz w:val="24"/>
          <w:szCs w:val="24"/>
        </w:rPr>
      </w:pPr>
    </w:p>
    <w:p w14:paraId="52D0578B" w14:textId="204D1C3B" w:rsidR="00D55D75" w:rsidRPr="00D55D75" w:rsidRDefault="00D55D75" w:rsidP="00D55D75">
      <w:pPr>
        <w:autoSpaceDE w:val="0"/>
        <w:autoSpaceDN w:val="0"/>
        <w:adjustRightInd w:val="0"/>
        <w:rPr>
          <w:rFonts w:ascii="Times-Bold" w:hAnsi="Times-Bold" w:cs="Times-Bold"/>
          <w:b/>
          <w:bCs/>
          <w:sz w:val="24"/>
          <w:szCs w:val="24"/>
        </w:rPr>
      </w:pPr>
      <w:r w:rsidRPr="00D55D75">
        <w:rPr>
          <w:rFonts w:ascii="Times-Bold" w:hAnsi="Times-Bold" w:cs="Times-Bold"/>
          <w:b/>
          <w:bCs/>
          <w:sz w:val="24"/>
          <w:szCs w:val="24"/>
        </w:rPr>
        <w:t xml:space="preserve">The following activities are eligible for reimbursement under the Habilitation service: </w:t>
      </w:r>
    </w:p>
    <w:p w14:paraId="1DBB4777" w14:textId="77777777" w:rsidR="00D55D75" w:rsidRPr="00D55D75" w:rsidRDefault="00D55D75" w:rsidP="00D55D75">
      <w:pPr>
        <w:rPr>
          <w:i/>
        </w:rPr>
      </w:pPr>
      <w:r w:rsidRPr="00D55D75">
        <w:rPr>
          <w:i/>
        </w:rPr>
        <w:sym w:font="Symbol" w:char="F0B7"/>
      </w:r>
      <w:r w:rsidRPr="00D55D75">
        <w:rPr>
          <w:i/>
        </w:rPr>
        <w:t xml:space="preserve"> Activities intended to assist the participant in meeting his or her treatment outcomes through the following:</w:t>
      </w:r>
    </w:p>
    <w:p w14:paraId="34B17427" w14:textId="77777777" w:rsidR="00D55D75" w:rsidRPr="00D55D75" w:rsidRDefault="00D55D75" w:rsidP="00D55D75">
      <w:pPr>
        <w:rPr>
          <w:i/>
        </w:rPr>
      </w:pPr>
      <w:r w:rsidRPr="00D55D75">
        <w:rPr>
          <w:i/>
        </w:rPr>
        <w:t xml:space="preserve"> – Acquisition, retention, or improvement in self-help, socialization, and adaptive skills necessary to support the participant’s needs </w:t>
      </w:r>
    </w:p>
    <w:p w14:paraId="16C1C06E" w14:textId="77777777" w:rsidR="00D55D75" w:rsidRPr="00D55D75" w:rsidRDefault="00D55D75" w:rsidP="00D55D75">
      <w:pPr>
        <w:rPr>
          <w:rFonts w:ascii="Arial" w:eastAsia="Arial" w:hAnsi="Arial" w:cs="Arial"/>
          <w:b/>
          <w:i/>
          <w:sz w:val="24"/>
          <w:szCs w:val="24"/>
        </w:rPr>
      </w:pPr>
      <w:r w:rsidRPr="00D55D75">
        <w:rPr>
          <w:i/>
        </w:rPr>
        <w:t>– Acquiring skills that enable the participant to exercise self-control and responsibility over services and supports received or needed</w:t>
      </w:r>
    </w:p>
    <w:p w14:paraId="754BEDEE" w14:textId="77777777" w:rsidR="00D55D75" w:rsidRPr="00D55D75" w:rsidRDefault="00D55D75" w:rsidP="00D55D75">
      <w:pPr>
        <w:rPr>
          <w:i/>
        </w:rPr>
      </w:pPr>
      <w:r w:rsidRPr="00D55D75">
        <w:rPr>
          <w:i/>
        </w:rPr>
        <w:sym w:font="Symbol" w:char="F0B7"/>
      </w:r>
      <w:r w:rsidRPr="00D55D75">
        <w:rPr>
          <w:i/>
        </w:rPr>
        <w:t xml:space="preserve"> Habilitation services may include, but are not limited to, training and psycho-education in self direction designed to help the participant achieve one or more of the following outcomes: </w:t>
      </w:r>
    </w:p>
    <w:p w14:paraId="7CF3BF3D" w14:textId="77777777" w:rsidR="00D55D75" w:rsidRPr="00D55D75" w:rsidRDefault="00D55D75" w:rsidP="00D55D75">
      <w:pPr>
        <w:rPr>
          <w:i/>
        </w:rPr>
      </w:pPr>
      <w:r w:rsidRPr="00D55D75">
        <w:rPr>
          <w:i/>
        </w:rPr>
        <w:t>– Develop self-advocacy skills</w:t>
      </w:r>
    </w:p>
    <w:p w14:paraId="2DFC8A10" w14:textId="77777777" w:rsidR="00D55D75" w:rsidRPr="00D55D75" w:rsidRDefault="00D55D75" w:rsidP="00D55D75">
      <w:pPr>
        <w:rPr>
          <w:i/>
        </w:rPr>
      </w:pPr>
      <w:r w:rsidRPr="00D55D75">
        <w:rPr>
          <w:i/>
        </w:rPr>
        <w:t xml:space="preserve">– Exercise civil rights </w:t>
      </w:r>
    </w:p>
    <w:p w14:paraId="4C4947E0" w14:textId="77777777" w:rsidR="00D55D75" w:rsidRPr="00D55D75" w:rsidRDefault="00D55D75" w:rsidP="00D55D75">
      <w:pPr>
        <w:rPr>
          <w:i/>
        </w:rPr>
      </w:pPr>
      <w:r w:rsidRPr="00D55D75">
        <w:rPr>
          <w:i/>
        </w:rPr>
        <w:t>– Acquire skills that enable the participant to become more independent, integrated, or productive in the community (including skills to stay on task, follow instructions, and manage his or her time)</w:t>
      </w:r>
    </w:p>
    <w:p w14:paraId="5885399B" w14:textId="77777777" w:rsidR="00D55D75" w:rsidRPr="00D55D75" w:rsidRDefault="00D55D75" w:rsidP="00D55D75">
      <w:pPr>
        <w:rPr>
          <w:i/>
        </w:rPr>
      </w:pPr>
      <w:r w:rsidRPr="00D55D75">
        <w:rPr>
          <w:i/>
        </w:rPr>
        <w:sym w:font="Symbol" w:char="F0B7"/>
      </w:r>
      <w:r w:rsidRPr="00D55D75">
        <w:rPr>
          <w:i/>
        </w:rPr>
        <w:t xml:space="preserve"> Supervision, monitoring, psycho-education, demonstration, mentoring, or support to assist the participant with the acquisition and retention of skills in the following areas: </w:t>
      </w:r>
    </w:p>
    <w:p w14:paraId="09FFD61D" w14:textId="77777777" w:rsidR="00D55D75" w:rsidRPr="00D55D75" w:rsidRDefault="00D55D75" w:rsidP="00D55D75">
      <w:pPr>
        <w:rPr>
          <w:i/>
        </w:rPr>
      </w:pPr>
      <w:r w:rsidRPr="00D55D75">
        <w:rPr>
          <w:i/>
        </w:rPr>
        <w:t xml:space="preserve">– Psycho-educational activities </w:t>
      </w:r>
    </w:p>
    <w:p w14:paraId="36C5D21B" w14:textId="77777777" w:rsidR="00D55D75" w:rsidRPr="00D55D75" w:rsidRDefault="00D55D75" w:rsidP="00D55D75">
      <w:pPr>
        <w:rPr>
          <w:i/>
        </w:rPr>
      </w:pPr>
      <w:r w:rsidRPr="00D55D75">
        <w:rPr>
          <w:i/>
        </w:rPr>
        <w:t xml:space="preserve">– Hobbies </w:t>
      </w:r>
    </w:p>
    <w:p w14:paraId="5E1A18CB" w14:textId="77777777" w:rsidR="00D55D75" w:rsidRPr="00D55D75" w:rsidRDefault="00D55D75" w:rsidP="00D55D75">
      <w:pPr>
        <w:rPr>
          <w:i/>
        </w:rPr>
      </w:pPr>
      <w:r w:rsidRPr="00D55D75">
        <w:rPr>
          <w:i/>
        </w:rPr>
        <w:t xml:space="preserve">– Unpaid work experiences (for example, volunteer opportunities) </w:t>
      </w:r>
    </w:p>
    <w:p w14:paraId="2A360C6C" w14:textId="77777777" w:rsidR="00D55D75" w:rsidRPr="00D55D75" w:rsidRDefault="00D55D75" w:rsidP="00D55D75">
      <w:pPr>
        <w:rPr>
          <w:i/>
        </w:rPr>
      </w:pPr>
      <w:r w:rsidRPr="00D55D75">
        <w:rPr>
          <w:i/>
        </w:rPr>
        <w:t xml:space="preserve">– Leisure activities and hobbies related to functional strengths-building and community/public events to encourage positive community connections </w:t>
      </w:r>
    </w:p>
    <w:p w14:paraId="76875B8E" w14:textId="77777777" w:rsidR="00D55D75" w:rsidRPr="00D55D75" w:rsidRDefault="00D55D75" w:rsidP="00D55D75">
      <w:pPr>
        <w:rPr>
          <w:i/>
        </w:rPr>
      </w:pPr>
      <w:r w:rsidRPr="00D55D75">
        <w:rPr>
          <w:i/>
        </w:rPr>
        <w:t>– Assist in developing nonpaid, natural supports for participant and family</w:t>
      </w:r>
    </w:p>
    <w:p w14:paraId="41D04C00" w14:textId="2F0E2ECA" w:rsidR="00D55D75" w:rsidRPr="00D55D75" w:rsidRDefault="00D55D75" w:rsidP="00D55D75">
      <w:pPr>
        <w:rPr>
          <w:i/>
        </w:rPr>
      </w:pPr>
    </w:p>
    <w:p w14:paraId="4E25DA77" w14:textId="1D3AF454" w:rsidR="00D55D75" w:rsidRPr="00D55D75" w:rsidRDefault="00D55D75" w:rsidP="00D55D75">
      <w:pPr>
        <w:rPr>
          <w:i/>
        </w:rPr>
      </w:pPr>
    </w:p>
    <w:p w14:paraId="79BBFFF9" w14:textId="3C57DBE8" w:rsidR="00D55D75" w:rsidRPr="00D55D75" w:rsidRDefault="00D55D75" w:rsidP="00D55D75">
      <w:pPr>
        <w:rPr>
          <w:i/>
        </w:rPr>
      </w:pPr>
    </w:p>
    <w:p w14:paraId="119C3537" w14:textId="77777777" w:rsidR="00D55D75" w:rsidRPr="00D55D75" w:rsidRDefault="00D55D75" w:rsidP="00D55D75">
      <w:pPr>
        <w:rPr>
          <w:i/>
        </w:rPr>
      </w:pPr>
    </w:p>
    <w:p w14:paraId="6F0067C0" w14:textId="77777777" w:rsidR="00D55D75" w:rsidRPr="00D55D75" w:rsidRDefault="00D55D75" w:rsidP="00D55D75">
      <w:pPr>
        <w:rPr>
          <w:i/>
        </w:rPr>
      </w:pPr>
    </w:p>
    <w:p w14:paraId="7D992316" w14:textId="4BFEA486" w:rsidR="00D55D75" w:rsidRDefault="00D55D75" w:rsidP="00D55D75">
      <w:pPr>
        <w:rPr>
          <w:rFonts w:ascii="Arial" w:eastAsia="Arial" w:hAnsi="Arial" w:cs="Arial"/>
          <w:b/>
          <w:sz w:val="24"/>
          <w:szCs w:val="24"/>
          <w:u w:val="single"/>
        </w:rPr>
      </w:pPr>
      <w:r w:rsidRPr="00D55D75">
        <w:rPr>
          <w:rFonts w:ascii="Arial" w:eastAsia="Arial" w:hAnsi="Arial" w:cs="Arial"/>
          <w:b/>
          <w:sz w:val="24"/>
          <w:szCs w:val="24"/>
          <w:u w:val="single"/>
        </w:rPr>
        <w:t>Respite</w:t>
      </w:r>
    </w:p>
    <w:p w14:paraId="02FA90AF" w14:textId="21B75AFA" w:rsidR="002E54E0" w:rsidRPr="00D55D75" w:rsidRDefault="002E54E0" w:rsidP="00D55D75">
      <w:pPr>
        <w:rPr>
          <w:rFonts w:ascii="Arial" w:eastAsia="Arial" w:hAnsi="Arial" w:cs="Arial"/>
          <w:b/>
          <w:sz w:val="24"/>
          <w:szCs w:val="24"/>
          <w:u w:val="single"/>
        </w:rPr>
      </w:pPr>
      <w:r>
        <w:t>Respite Care services are provided to participants unable to care for themselves and are furnished on a short-term basis because of the absence or need for relief of persons who normally provide care for the participant.</w:t>
      </w:r>
    </w:p>
    <w:p w14:paraId="76E40A62" w14:textId="77777777" w:rsidR="00D55D75" w:rsidRPr="00D55D75" w:rsidRDefault="00D55D75" w:rsidP="00D55D75">
      <w:pPr>
        <w:autoSpaceDE w:val="0"/>
        <w:autoSpaceDN w:val="0"/>
        <w:adjustRightInd w:val="0"/>
        <w:rPr>
          <w:rFonts w:ascii="Times-Bold" w:hAnsi="Times-Bold" w:cs="Times-Bold"/>
          <w:b/>
          <w:bCs/>
          <w:sz w:val="24"/>
          <w:szCs w:val="24"/>
        </w:rPr>
      </w:pPr>
      <w:r w:rsidRPr="00D55D75">
        <w:rPr>
          <w:rFonts w:ascii="Times-Bold" w:hAnsi="Times-Bold" w:cs="Times-Bold"/>
          <w:b/>
          <w:bCs/>
          <w:sz w:val="24"/>
          <w:szCs w:val="24"/>
        </w:rPr>
        <w:t xml:space="preserve">The following activities are eligible for reimbursement under the Respite service: </w:t>
      </w:r>
    </w:p>
    <w:p w14:paraId="3BEF8E95" w14:textId="77777777" w:rsidR="00D55D75" w:rsidRPr="00D55D75" w:rsidRDefault="00D55D75" w:rsidP="00D55D75">
      <w:r w:rsidRPr="00D55D75">
        <w:sym w:font="Symbol" w:char="F0B7"/>
      </w:r>
      <w:r w:rsidRPr="00D55D75">
        <w:t xml:space="preserve"> Assistance with daily living skills, including assistance with accessing and/or transporting to and from community activities </w:t>
      </w:r>
    </w:p>
    <w:p w14:paraId="703DB8CD" w14:textId="77777777" w:rsidR="00D55D75" w:rsidRPr="00D55D75" w:rsidRDefault="00D55D75" w:rsidP="00D55D75">
      <w:r w:rsidRPr="00D55D75">
        <w:sym w:font="Symbol" w:char="F0B7"/>
      </w:r>
      <w:r w:rsidRPr="00D55D75">
        <w:t xml:space="preserve"> Assistance with grooming and personal hygiene </w:t>
      </w:r>
    </w:p>
    <w:p w14:paraId="0AE7860A" w14:textId="77777777" w:rsidR="00D55D75" w:rsidRPr="00D55D75" w:rsidRDefault="00D55D75" w:rsidP="00D55D75">
      <w:r w:rsidRPr="00D55D75">
        <w:sym w:font="Symbol" w:char="F0B7"/>
      </w:r>
      <w:r w:rsidRPr="00D55D75">
        <w:t xml:space="preserve"> Meal preparation, serving, and cleanup </w:t>
      </w:r>
    </w:p>
    <w:p w14:paraId="6F0DE0F5" w14:textId="77777777" w:rsidR="00D55D75" w:rsidRPr="00D55D75" w:rsidRDefault="00D55D75" w:rsidP="00D55D75">
      <w:r w:rsidRPr="00D55D75">
        <w:sym w:font="Symbol" w:char="F0B7"/>
      </w:r>
      <w:r w:rsidRPr="00D55D75">
        <w:t xml:space="preserve"> Administration of medications </w:t>
      </w:r>
    </w:p>
    <w:p w14:paraId="027C011B" w14:textId="77777777" w:rsidR="00D55D75" w:rsidRPr="00D55D75" w:rsidRDefault="00D55D75" w:rsidP="00D55D75">
      <w:pPr>
        <w:rPr>
          <w:rFonts w:ascii="Arial" w:eastAsia="Arial" w:hAnsi="Arial" w:cs="Arial"/>
          <w:b/>
          <w:sz w:val="24"/>
          <w:szCs w:val="24"/>
          <w:u w:val="single"/>
        </w:rPr>
      </w:pPr>
      <w:r w:rsidRPr="00D55D75">
        <w:sym w:font="Symbol" w:char="F0B7"/>
      </w:r>
      <w:r w:rsidRPr="00D55D75">
        <w:t xml:space="preserve"> Supervision</w:t>
      </w:r>
    </w:p>
    <w:p w14:paraId="6A432413" w14:textId="77777777" w:rsidR="00D55D75" w:rsidRPr="00D55D75" w:rsidRDefault="00D55D75" w:rsidP="00D55D75">
      <w:pPr>
        <w:rPr>
          <w:rFonts w:ascii="Arial" w:eastAsia="Arial" w:hAnsi="Arial" w:cs="Arial"/>
          <w:b/>
          <w:sz w:val="24"/>
          <w:szCs w:val="24"/>
          <w:u w:val="single"/>
        </w:rPr>
      </w:pPr>
    </w:p>
    <w:p w14:paraId="2CCBE0BF" w14:textId="1229DA80" w:rsidR="00D55D75" w:rsidRDefault="00D55D75" w:rsidP="00D55D75">
      <w:pPr>
        <w:rPr>
          <w:rFonts w:ascii="Arial" w:eastAsia="Arial" w:hAnsi="Arial" w:cs="Arial"/>
          <w:b/>
          <w:sz w:val="24"/>
          <w:szCs w:val="24"/>
          <w:u w:val="single"/>
        </w:rPr>
      </w:pPr>
      <w:r w:rsidRPr="00D55D75">
        <w:rPr>
          <w:rFonts w:ascii="Arial" w:eastAsia="Arial" w:hAnsi="Arial" w:cs="Arial"/>
          <w:b/>
          <w:sz w:val="24"/>
          <w:szCs w:val="24"/>
          <w:u w:val="single"/>
        </w:rPr>
        <w:t xml:space="preserve">Training &amp; Support </w:t>
      </w:r>
      <w:proofErr w:type="gramStart"/>
      <w:r w:rsidRPr="00D55D75">
        <w:rPr>
          <w:rFonts w:ascii="Arial" w:eastAsia="Arial" w:hAnsi="Arial" w:cs="Arial"/>
          <w:b/>
          <w:sz w:val="24"/>
          <w:szCs w:val="24"/>
          <w:u w:val="single"/>
        </w:rPr>
        <w:t>For</w:t>
      </w:r>
      <w:proofErr w:type="gramEnd"/>
      <w:r w:rsidRPr="00D55D75">
        <w:rPr>
          <w:rFonts w:ascii="Arial" w:eastAsia="Arial" w:hAnsi="Arial" w:cs="Arial"/>
          <w:b/>
          <w:sz w:val="24"/>
          <w:szCs w:val="24"/>
          <w:u w:val="single"/>
        </w:rPr>
        <w:t xml:space="preserve"> The Unpaid Caregiver</w:t>
      </w:r>
    </w:p>
    <w:p w14:paraId="6AB02462" w14:textId="10BF7D37" w:rsidR="002E54E0" w:rsidRPr="00D55D75" w:rsidRDefault="002E54E0" w:rsidP="00D55D75">
      <w:pPr>
        <w:rPr>
          <w:rFonts w:ascii="Arial" w:eastAsia="Arial" w:hAnsi="Arial" w:cs="Arial"/>
          <w:b/>
          <w:sz w:val="24"/>
          <w:szCs w:val="24"/>
          <w:u w:val="single"/>
        </w:rPr>
      </w:pPr>
      <w:r>
        <w:t>Training and Support for the Unpaid Caregiver, commonly referred to as Family Support and Training (FST), is a service provided for an individual who is providing unpaid support, training, companionship, or supervision for the youth. The intent of the service is to provide education and supports to the caregiver that preserves the family unit and increases confidence, stamina, and empowerment. Training and support activities, and the providers selected for these activities, are based on the family/caregiver’s unique needs and are identified in the Plan of Care (POC).</w:t>
      </w:r>
    </w:p>
    <w:p w14:paraId="2479C2D3" w14:textId="77777777" w:rsidR="00D55D75" w:rsidRPr="00D55D75" w:rsidRDefault="00D55D75" w:rsidP="00D55D75">
      <w:pPr>
        <w:rPr>
          <w:rFonts w:ascii="Times-Bold" w:hAnsi="Times-Bold" w:cs="Times-Bold"/>
          <w:b/>
          <w:bCs/>
          <w:sz w:val="24"/>
          <w:szCs w:val="24"/>
        </w:rPr>
      </w:pPr>
      <w:r w:rsidRPr="00D55D75">
        <w:rPr>
          <w:rFonts w:ascii="Times-Bold" w:hAnsi="Times-Bold" w:cs="Times-Bold"/>
          <w:b/>
          <w:bCs/>
          <w:sz w:val="24"/>
          <w:szCs w:val="24"/>
        </w:rPr>
        <w:t>Training and Support for the Unpaid Caregiver services allowed activities may include, but are not limited to the following:</w:t>
      </w:r>
    </w:p>
    <w:p w14:paraId="56E8401B" w14:textId="77777777" w:rsidR="00D55D75" w:rsidRPr="00D55D75" w:rsidRDefault="00D55D75" w:rsidP="00D55D75">
      <w:r w:rsidRPr="00D55D75">
        <w:sym w:font="Symbol" w:char="F0B7"/>
      </w:r>
      <w:r w:rsidRPr="00D55D75">
        <w:t xml:space="preserve"> Practical living and decision-making skills </w:t>
      </w:r>
    </w:p>
    <w:p w14:paraId="26F01D42" w14:textId="77777777" w:rsidR="00D55D75" w:rsidRPr="00D55D75" w:rsidRDefault="00D55D75" w:rsidP="00D55D75">
      <w:r w:rsidRPr="00D55D75">
        <w:sym w:font="Symbol" w:char="F0B7"/>
      </w:r>
      <w:r w:rsidRPr="00D55D75">
        <w:t xml:space="preserve"> Child development parenting skills </w:t>
      </w:r>
    </w:p>
    <w:p w14:paraId="649F3176" w14:textId="77777777" w:rsidR="00D55D75" w:rsidRPr="00D55D75" w:rsidRDefault="00D55D75" w:rsidP="00D55D75">
      <w:r w:rsidRPr="00D55D75">
        <w:sym w:font="Symbol" w:char="F0B7"/>
      </w:r>
      <w:r w:rsidRPr="00D55D75">
        <w:t xml:space="preserve"> Home management skills </w:t>
      </w:r>
    </w:p>
    <w:p w14:paraId="4A395675" w14:textId="77777777" w:rsidR="00D55D75" w:rsidRPr="00D55D75" w:rsidRDefault="00D55D75" w:rsidP="00D55D75">
      <w:r w:rsidRPr="00D55D75">
        <w:sym w:font="Symbol" w:char="F0B7"/>
      </w:r>
      <w:r w:rsidRPr="00D55D75">
        <w:t xml:space="preserve"> Use of community resources and development of informal supports </w:t>
      </w:r>
    </w:p>
    <w:p w14:paraId="14B69123" w14:textId="77777777" w:rsidR="00D55D75" w:rsidRPr="00D55D75" w:rsidRDefault="00D55D75" w:rsidP="00D55D75">
      <w:r w:rsidRPr="00D55D75">
        <w:sym w:font="Symbol" w:char="F0B7"/>
      </w:r>
      <w:r w:rsidRPr="00D55D75">
        <w:t xml:space="preserve"> Conflict resolution </w:t>
      </w:r>
    </w:p>
    <w:p w14:paraId="3AEA9BE5" w14:textId="77777777" w:rsidR="00D55D75" w:rsidRPr="00D55D75" w:rsidRDefault="00D55D75" w:rsidP="00D55D75">
      <w:r w:rsidRPr="00D55D75">
        <w:sym w:font="Symbol" w:char="F0B7"/>
      </w:r>
      <w:r w:rsidRPr="00D55D75">
        <w:t xml:space="preserve"> Coping skills </w:t>
      </w:r>
    </w:p>
    <w:p w14:paraId="556B7229" w14:textId="77777777" w:rsidR="00D55D75" w:rsidRPr="00D55D75" w:rsidRDefault="00D55D75" w:rsidP="00D55D75">
      <w:r w:rsidRPr="00D55D75">
        <w:sym w:font="Symbol" w:char="F0B7"/>
      </w:r>
      <w:r w:rsidRPr="00D55D75">
        <w:t xml:space="preserve"> Gaining an understanding of the participant’s mental health needs </w:t>
      </w:r>
    </w:p>
    <w:p w14:paraId="16078429" w14:textId="77777777" w:rsidR="00D55D75" w:rsidRPr="00D55D75" w:rsidRDefault="00D55D75" w:rsidP="00D55D75">
      <w:pPr>
        <w:rPr>
          <w:rFonts w:ascii="Arial" w:eastAsia="Arial" w:hAnsi="Arial" w:cs="Arial"/>
          <w:i/>
          <w:sz w:val="24"/>
          <w:szCs w:val="24"/>
        </w:rPr>
      </w:pPr>
      <w:r w:rsidRPr="00D55D75">
        <w:sym w:font="Symbol" w:char="F0B7"/>
      </w:r>
      <w:r w:rsidRPr="00D55D75">
        <w:t xml:space="preserve"> Learning communication and crisis de-escalation skills geared for working with participant’s mental health and behavioral needs</w:t>
      </w:r>
    </w:p>
    <w:p w14:paraId="19725FF3" w14:textId="77777777" w:rsidR="00D55D75" w:rsidRPr="00D55D75" w:rsidRDefault="00D55D75"/>
    <w:sectPr w:rsidR="00D55D75" w:rsidRPr="00D55D75" w:rsidSect="002E54E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imes-Bol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D75"/>
    <w:rsid w:val="00124E33"/>
    <w:rsid w:val="002E54E0"/>
    <w:rsid w:val="008D6A1F"/>
    <w:rsid w:val="00D55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EBCAE"/>
  <w15:chartTrackingRefBased/>
  <w15:docId w15:val="{5766ACD0-E24A-45D4-B61E-8AA0C4C1A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D75"/>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55D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617</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Felecia Barron</dc:creator>
  <cp:keywords/>
  <dc:description/>
  <cp:lastModifiedBy>Felecia Barron</cp:lastModifiedBy>
  <cp:revision>2</cp:revision>
  <cp:lastPrinted>2019-03-29T11:18:00Z</cp:lastPrinted>
  <dcterms:created xsi:type="dcterms:W3CDTF">2019-03-29T11:13:00Z</dcterms:created>
  <dcterms:modified xsi:type="dcterms:W3CDTF">2020-12-13T02:09:00Z</dcterms:modified>
</cp:coreProperties>
</file>